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381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51197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loaded-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97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560"/>
              <w:jc w:val="right"/>
            </w:pPr>
            <w:r>
              <w:rPr>
                <w:rFonts w:ascii="Calibri" w:hAnsi="Calibri" w:eastAsia="Calibri"/>
                <w:b/>
                <w:i w:val="0"/>
                <w:color w:val="C9A24A"/>
                <w:sz w:val="24"/>
              </w:rPr>
              <w:t>RATE CARD  ·  2026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C9A24A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4"/>
              </w:rPr>
            </w:r>
          </w:p>
        </w:tc>
      </w:tr>
    </w:tbl>
    <w:p>
      <w:pPr>
        <w:spacing w:before="120" w:after="4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Paul Yeates  ·  Fractional FC, FD and CFO  ·  enquiries@savastute.com  ·  07305 864880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savastute.com  ·  United Kingdom  ·  Monday–Friday, 08:30–17:30</w:t>
      </w:r>
    </w:p>
    <w:p>
      <w:pPr>
        <w:spacing w:before="80" w:after="80"/>
      </w:pPr>
      <w:r>
        <w:rPr>
          <w:rFonts w:ascii="Calibri" w:hAnsi="Calibri" w:eastAsia="Calibri"/>
          <w:b/>
          <w:i w:val="0"/>
          <w:color w:val="0E0814"/>
          <w:sz w:val="44"/>
        </w:rPr>
        <w:t>Day-rate, retainer, FTC.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Indicative UK rates, 2026, exclusive of VAT. The letter of engagement is the price. Travel and disbursements are extra unless the letter says otherwise.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Group</w:t>
            </w:r>
          </w:p>
        </w:tc>
        <w:tc>
          <w:tcPr>
            <w:tcW w:type="dxa" w:w="3628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948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928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Rate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Open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Finance score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Self-serve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No fee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Open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Discovery call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30–45 minutes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No fee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Diagnostic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Diagnostic pack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2–3 weeks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£4,800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Day-rate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Consultancy — FC height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 (8 hours)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£550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Day-rate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Consultancy — FD height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 (8 hours)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£750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Day-rate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Consultancy — CFO / group / PE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 (8 hours)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£950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Day-rate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Half day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4 hours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60% of the day rate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Retainer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FC retainer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2 days / month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£1,100 / month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Retainer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FD retainer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2 days / month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£1,500 / month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Retainer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CFO retainer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2 days / month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£1,900 / month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FTC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Fixed-term FC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3–5 days / week, 3–12 months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£550 / day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FTC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Fixed-term FD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3–5 days / week, 3–12 months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£750 / day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FTC</w:t>
            </w:r>
          </w:p>
        </w:tc>
        <w:tc>
          <w:tcPr>
            <w:tcW w:type="dxa" w:w="36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Fixed-term CFO</w:t>
            </w:r>
          </w:p>
        </w:tc>
        <w:tc>
          <w:tcPr>
            <w:tcW w:type="dxa" w:w="294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3–5 days / week, 3–12 months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From £950 / day</w:t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Project</w:t>
            </w:r>
          </w:p>
        </w:tc>
        <w:tc>
          <w:tcPr>
            <w:tcW w:type="dxa" w:w="36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Rebuild / transformation</w:t>
            </w:r>
          </w:p>
        </w:tc>
        <w:tc>
          <w:tcPr>
            <w:tcW w:type="dxa" w:w="294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Fixed or day rate</w:t>
            </w:r>
          </w:p>
        </w:tc>
        <w:tc>
          <w:tcPr>
            <w:tcW w:type="dxa" w:w="1928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Quoted in the letter</w:t>
            </w:r>
          </w:p>
        </w:tc>
      </w:tr>
    </w:tbl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HOW THE DAYS ARE BOUGHT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Retainer. Two to eight days a month. Three-month initial term, then 30 days’ written notice.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Day-rate. Call-off days against a letter. Minimum half day. Preparation and write-up sit inside the day.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FTC / interim. Three to five days a week for three to twelve months. Limited-company supplier. IR35 status is for the client and their advisors.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Project. A defined pack at a fixed fee or a capped day rate. Handover is part of the scope.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BILLING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Retainers monthly in advance. Diagnostics 50% on instruction, 50% on delivery, credited against a retainer if you proceed inside 60 days. Day-rate and FTC weekly or monthly in arrears, as the letter. Payment 14 days.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NOT ON THE CARD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Bookkeeping, payroll or statutory accounts as a bureau. Software licences and implementation-partner fees. Auditor, MLRO or nominated-adviser appointments. A guarantee of lending, valuation or tax. Inside-IR35 employment.</w:t>
      </w:r>
    </w:p>
    <w:p>
      <w:pPr>
        <w:spacing w:before="320" w:after="120" w:line="259" w:lineRule="auto"/>
      </w:pPr>
      <w:r>
        <w:rPr>
          <w:rFonts w:ascii="Calibri" w:hAnsi="Calibri" w:eastAsia="Calibri"/>
          <w:b w:val="0"/>
          <w:i/>
          <w:color w:val="6E675C"/>
          <w:sz w:val="16"/>
        </w:rPr>
        <w:t>Savastute  ·  Paul Yeates  ·  enquiries@savastute.com  ·  This card is indicative. Do not treat it as an offer.</w:t>
      </w:r>
    </w:p>
    <w:sectPr w:rsidR="00FC693F" w:rsidRPr="0006063C" w:rsidSect="00034616"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08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